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B8D">
        <w:tc>
          <w:tcPr>
            <w:tcW w:w="9287" w:type="dxa"/>
            <w:shd w:val="clear" w:color="auto" w:fill="BCD7ED"/>
          </w:tcPr>
          <w:p w:rsidR="00952B8D" w:rsidRDefault="005D650A">
            <w:pPr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A- İŞE İLİŞKİN BİLGİLER   </w:t>
            </w:r>
          </w:p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pPr>
              <w:shd w:val="clear" w:color="auto" w:fill="FFFFFF"/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İşin Kısa Tanımı</w:t>
            </w:r>
          </w:p>
        </w:tc>
      </w:tr>
      <w:tr w:rsidR="00952B8D">
        <w:trPr>
          <w:trHeight w:val="768"/>
        </w:trPr>
        <w:tc>
          <w:tcPr>
            <w:tcW w:w="9287" w:type="dxa"/>
          </w:tcPr>
          <w:p w:rsidR="00952B8D" w:rsidRDefault="005D650A">
            <w:pPr>
              <w:jc w:val="both"/>
            </w:pPr>
            <w:r>
              <w:t xml:space="preserve"> İşletmenin  mevzuata uygun şekilde yürütülmesi, herhangi bir aksaklığa sebebiyet verilmemesi için gerekli tedbirlerin alınarak, kendine yüklenmiş olan görevlerin ifa edilmesi.</w:t>
            </w:r>
          </w:p>
        </w:tc>
      </w:tr>
      <w:tr w:rsidR="00952B8D">
        <w:trPr>
          <w:trHeight w:val="324"/>
        </w:trPr>
        <w:tc>
          <w:tcPr>
            <w:tcW w:w="9287" w:type="dxa"/>
            <w:shd w:val="clear" w:color="auto" w:fill="FFFFFF"/>
          </w:tcPr>
          <w:p w:rsidR="00952B8D" w:rsidRDefault="005D650A">
            <w:pPr>
              <w:tabs>
                <w:tab w:val="left" w:pos="5610"/>
              </w:tabs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Görev ve Sorumluluklar</w:t>
            </w:r>
          </w:p>
        </w:tc>
      </w:tr>
      <w:tr w:rsidR="00952B8D">
        <w:trPr>
          <w:trHeight w:val="753"/>
        </w:trPr>
        <w:tc>
          <w:tcPr>
            <w:tcW w:w="9287" w:type="dxa"/>
          </w:tcPr>
          <w:p w:rsidR="00952B8D" w:rsidRPr="003A1258" w:rsidRDefault="005D650A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>- İşletmenin idari, mali ve teknik işlerini, kanun, tüzük, yönetmelik, yönerge, çalışma programları, bütçe esasları ve işletmecilik ilkelerine uygun biçimde yürütmek,</w:t>
            </w:r>
          </w:p>
          <w:p w:rsidR="00952B8D" w:rsidRPr="003A1258" w:rsidRDefault="005D650A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- Döner Sermaye kadrolarına atanan veya görevlendirilen memurlar ile işletmeye alınan işçilerin görevlerini iş bölümü esasları </w:t>
            </w:r>
            <w:proofErr w:type="gramStart"/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>dahilinde</w:t>
            </w:r>
            <w:proofErr w:type="gramEnd"/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düzenlemek, izlemek ve denetlemek,</w:t>
            </w:r>
          </w:p>
          <w:p w:rsidR="00952B8D" w:rsidRPr="003A1258" w:rsidRDefault="005D650A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>-Döner sermaye memurlarının atamalarını teklif etmek ve işletmeye işçi alınması, çıkarılması ve işçilerin özlük haklarına ilişkin işleri yapmak,</w:t>
            </w:r>
          </w:p>
          <w:p w:rsidR="00952B8D" w:rsidRPr="003A1258" w:rsidRDefault="005D650A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>- İşletmenin çalışma programlarının ve bütçe tasarılarının zamanında hazırlanmasını sağlamak,</w:t>
            </w:r>
          </w:p>
          <w:p w:rsidR="00952B8D" w:rsidRPr="003A1258" w:rsidRDefault="005D650A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>-Canlı ve cansız demirbaşları ile malzemelerin iyi bir şekilde kullanılmasını, saklanmasını, korunmasını sağlamak için gerekli tedbirleri almak,</w:t>
            </w:r>
          </w:p>
          <w:p w:rsidR="00952B8D" w:rsidRPr="003A1258" w:rsidRDefault="005D650A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A1258">
              <w:rPr>
                <w:rFonts w:asciiTheme="minorHAnsi" w:hAnsiTheme="minorHAnsi"/>
                <w:color w:val="auto"/>
                <w:sz w:val="24"/>
                <w:szCs w:val="24"/>
              </w:rPr>
              <w:t>- Ambar ve ayniyat işlerinin usulüne göre yürütülmesini sağlamak, gerekli denetimi yapmak</w:t>
            </w:r>
            <w:r w:rsidRPr="003A12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952B8D" w:rsidRDefault="00952B8D">
            <w:pPr>
              <w:jc w:val="both"/>
              <w:rPr>
                <w:b/>
                <w:i/>
                <w:color w:val="002060"/>
                <w:sz w:val="34"/>
              </w:rPr>
            </w:pPr>
          </w:p>
          <w:p w:rsidR="00952B8D" w:rsidRDefault="00952B8D"/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Yetkiler</w:t>
            </w:r>
          </w:p>
        </w:tc>
      </w:tr>
      <w:tr w:rsidR="00952B8D">
        <w:trPr>
          <w:trHeight w:val="753"/>
        </w:trPr>
        <w:tc>
          <w:tcPr>
            <w:tcW w:w="9287" w:type="dxa"/>
          </w:tcPr>
          <w:p w:rsidR="00952B8D" w:rsidRPr="003A1258" w:rsidRDefault="005D650A" w:rsidP="003A1258">
            <w:pPr>
              <w:jc w:val="both"/>
              <w:rPr>
                <w:rFonts w:asciiTheme="minorHAnsi" w:hAnsiTheme="minorHAnsi"/>
              </w:rPr>
            </w:pPr>
            <w:r w:rsidRPr="003A1258">
              <w:rPr>
                <w:rFonts w:asciiTheme="minorHAnsi" w:hAnsiTheme="minorHAnsi"/>
              </w:rPr>
              <w:t>-Yukarıda belirtilen görev ve sorumlulukları gerçekleştirme yetkisine sahip olmak.</w:t>
            </w:r>
          </w:p>
          <w:p w:rsidR="00952B8D" w:rsidRDefault="005D650A" w:rsidP="003A1258">
            <w:pPr>
              <w:jc w:val="both"/>
            </w:pPr>
            <w:r w:rsidRPr="003A1258">
              <w:rPr>
                <w:rFonts w:asciiTheme="minorHAnsi" w:hAnsiTheme="minorHAnsi"/>
              </w:rPr>
              <w:t xml:space="preserve"> -Faaliyetlerinin gerektirdiği her türlü araç, gereç ve malzemeyi kullanabilmek.</w:t>
            </w:r>
          </w:p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İlgili Mevzuat</w:t>
            </w:r>
          </w:p>
        </w:tc>
      </w:tr>
      <w:tr w:rsidR="00952B8D">
        <w:trPr>
          <w:trHeight w:val="894"/>
        </w:trPr>
        <w:tc>
          <w:tcPr>
            <w:tcW w:w="9287" w:type="dxa"/>
          </w:tcPr>
          <w:p w:rsidR="00952B8D" w:rsidRDefault="005D650A">
            <w:pPr>
              <w:jc w:val="both"/>
            </w:pPr>
            <w:r>
              <w:rPr>
                <w:sz w:val="32"/>
              </w:rPr>
              <w:t>-</w:t>
            </w:r>
            <w:r>
              <w:t xml:space="preserve">  5018 sayılı Kamu Mali Yönetimi ve Kontrol Kanunu,</w:t>
            </w:r>
          </w:p>
          <w:p w:rsidR="00952B8D" w:rsidRDefault="005D650A">
            <w:pPr>
              <w:jc w:val="both"/>
            </w:pPr>
            <w:r>
              <w:t>-  4734 sayılı Kamu İhale Kanunu,</w:t>
            </w:r>
          </w:p>
          <w:p w:rsidR="00952B8D" w:rsidRDefault="005D650A">
            <w:pPr>
              <w:jc w:val="both"/>
            </w:pPr>
            <w:r>
              <w:t>-  4735 Sayılı Kamu İhale Sözleşmeleri Kanunu,</w:t>
            </w:r>
          </w:p>
          <w:p w:rsidR="00952B8D" w:rsidRDefault="005D650A">
            <w:pPr>
              <w:jc w:val="both"/>
            </w:pPr>
            <w:r>
              <w:t>-  6245 Sayılı Harcırah Kanunu,</w:t>
            </w:r>
          </w:p>
          <w:p w:rsidR="00952B8D" w:rsidRDefault="005D650A">
            <w:pPr>
              <w:jc w:val="both"/>
            </w:pPr>
            <w:r>
              <w:t>-  6552 Sayılı İş Kanunu ve Bazı Alacakların Yeniden Yapılandırılması Hakkında Kanun,</w:t>
            </w:r>
          </w:p>
          <w:p w:rsidR="00952B8D" w:rsidRDefault="005D650A">
            <w:pPr>
              <w:jc w:val="both"/>
            </w:pPr>
            <w:r>
              <w:t>-  2886 Sayılı Devlet İhale Kanunu,</w:t>
            </w:r>
          </w:p>
          <w:p w:rsidR="00952B8D" w:rsidRDefault="005D650A">
            <w:pPr>
              <w:jc w:val="both"/>
            </w:pPr>
            <w:r>
              <w:t>-  2914 Sayılı Yükseköğretim Personel Kanunu,</w:t>
            </w:r>
          </w:p>
          <w:p w:rsidR="00952B8D" w:rsidRDefault="005D650A">
            <w:pPr>
              <w:jc w:val="both"/>
            </w:pPr>
            <w:r>
              <w:t>-  26040 Sayılı Merkezi Yönetim Harcama Belgeleri Yönetmeliği,</w:t>
            </w:r>
          </w:p>
          <w:p w:rsidR="00952B8D" w:rsidRDefault="005D650A">
            <w:pPr>
              <w:jc w:val="both"/>
            </w:pPr>
            <w:r>
              <w:t>-  27159 Sayılı Hizmet Alım İhaleleri Uygulama Yönetmeliği,</w:t>
            </w:r>
          </w:p>
          <w:p w:rsidR="00952B8D" w:rsidRDefault="005D650A">
            <w:pPr>
              <w:jc w:val="both"/>
            </w:pPr>
            <w:r>
              <w:t xml:space="preserve"> - 27159 Sayılı Mal Alım İhaleleri Uygulama Yönetmeliği,</w:t>
            </w:r>
          </w:p>
          <w:p w:rsidR="00952B8D" w:rsidRDefault="005D650A">
            <w:pPr>
              <w:jc w:val="both"/>
            </w:pPr>
            <w:r>
              <w:t>-  666 Sayılı Kanun Hükmünde Kararname</w:t>
            </w:r>
          </w:p>
          <w:p w:rsidR="00952B8D" w:rsidRDefault="005D650A">
            <w:pPr>
              <w:jc w:val="both"/>
              <w:rPr>
                <w:sz w:val="32"/>
              </w:rPr>
            </w:pPr>
            <w:r>
              <w:t>- 18098 sayılı Yükseköğretim Kanunu’nun 58. Maddesine Göre Döner Sermaye   İşletmelerinin Kurulmasında Uyulacak Esaslara İlişkin Yönetmelik,</w:t>
            </w:r>
          </w:p>
          <w:p w:rsidR="00952B8D" w:rsidRDefault="00952B8D"/>
        </w:tc>
      </w:tr>
      <w:tr w:rsidR="00952B8D">
        <w:tc>
          <w:tcPr>
            <w:tcW w:w="9287" w:type="dxa"/>
            <w:shd w:val="clear" w:color="auto" w:fill="BCD7ED"/>
          </w:tcPr>
          <w:p w:rsidR="00952B8D" w:rsidRDefault="005D650A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ATANACAKLARDA ARANACAK NİTELİKLER</w:t>
            </w:r>
          </w:p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Öğrenim Düzeyi Ve Bölümü</w:t>
            </w:r>
          </w:p>
        </w:tc>
      </w:tr>
      <w:tr w:rsidR="00952B8D">
        <w:trPr>
          <w:trHeight w:val="398"/>
        </w:trPr>
        <w:tc>
          <w:tcPr>
            <w:tcW w:w="9287" w:type="dxa"/>
            <w:shd w:val="clear" w:color="auto" w:fill="FFFFFF"/>
          </w:tcPr>
          <w:p w:rsidR="00952B8D" w:rsidRDefault="005D650A">
            <w:r>
              <w:t>En az lisans mezunu olmak.</w:t>
            </w:r>
          </w:p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Mesleki Eğitim, Sertifikalar ve Diğer Eğitimler</w:t>
            </w:r>
          </w:p>
        </w:tc>
      </w:tr>
      <w:tr w:rsidR="00952B8D">
        <w:trPr>
          <w:trHeight w:val="631"/>
        </w:trPr>
        <w:tc>
          <w:tcPr>
            <w:tcW w:w="9287" w:type="dxa"/>
            <w:shd w:val="clear" w:color="auto" w:fill="FFFFFF"/>
          </w:tcPr>
          <w:p w:rsidR="00952B8D" w:rsidRDefault="005D650A">
            <w:r>
              <w:t>-657 sayılı Devlet Memurları Kanununa göre atanmış olmak.</w:t>
            </w:r>
          </w:p>
          <w:p w:rsidR="00952B8D" w:rsidRDefault="005D650A">
            <w:r>
              <w:t>-En az Lisans mezunu olmak.</w:t>
            </w:r>
          </w:p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Yabancı Dil Bilgisi ve Düzeyi</w:t>
            </w:r>
          </w:p>
        </w:tc>
      </w:tr>
      <w:tr w:rsidR="00952B8D">
        <w:trPr>
          <w:trHeight w:val="354"/>
        </w:trPr>
        <w:tc>
          <w:tcPr>
            <w:tcW w:w="9287" w:type="dxa"/>
            <w:shd w:val="clear" w:color="auto" w:fill="FFFFFF"/>
          </w:tcPr>
          <w:p w:rsidR="00952B8D" w:rsidRDefault="005D650A">
            <w:r>
              <w:lastRenderedPageBreak/>
              <w:t>Yabancı dil bilgisi gerekmemektedir.</w:t>
            </w:r>
          </w:p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Hizmet Süresi</w:t>
            </w:r>
          </w:p>
        </w:tc>
      </w:tr>
      <w:tr w:rsidR="00952B8D">
        <w:tc>
          <w:tcPr>
            <w:tcW w:w="9287" w:type="dxa"/>
            <w:shd w:val="clear" w:color="auto" w:fill="FFFFFF"/>
          </w:tcPr>
          <w:p w:rsidR="00952B8D" w:rsidRDefault="005D650A">
            <w:r>
              <w:t>En az 10 yıl hizmet süresi olmak.</w:t>
            </w:r>
          </w:p>
        </w:tc>
      </w:tr>
    </w:tbl>
    <w:p w:rsidR="00952B8D" w:rsidRDefault="00952B8D"/>
    <w:p w:rsidR="00952B8D" w:rsidRDefault="00952B8D"/>
    <w:sectPr w:rsidR="00952B8D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FF" w:rsidRDefault="00FD74FF">
      <w:pPr>
        <w:spacing w:after="0" w:line="240" w:lineRule="auto"/>
      </w:pPr>
      <w:r>
        <w:separator/>
      </w:r>
    </w:p>
  </w:endnote>
  <w:endnote w:type="continuationSeparator" w:id="0">
    <w:p w:rsidR="00FD74FF" w:rsidRDefault="00FD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FF" w:rsidRDefault="00FD74FF">
      <w:pPr>
        <w:spacing w:after="0" w:line="240" w:lineRule="auto"/>
      </w:pPr>
      <w:r>
        <w:separator/>
      </w:r>
    </w:p>
  </w:footnote>
  <w:footnote w:type="continuationSeparator" w:id="0">
    <w:p w:rsidR="00FD74FF" w:rsidRDefault="00FD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8D" w:rsidRDefault="00952B8D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668"/>
      <w:gridCol w:w="7512"/>
    </w:tblGrid>
    <w:tr w:rsidR="00952B8D">
      <w:trPr>
        <w:trHeight w:val="357"/>
      </w:trPr>
      <w:tc>
        <w:tcPr>
          <w:tcW w:w="1668" w:type="dxa"/>
          <w:tcBorders>
            <w:bottom w:val="single" w:sz="4" w:space="0" w:color="000000"/>
          </w:tcBorders>
        </w:tcPr>
        <w:p w:rsidR="00952B8D" w:rsidRDefault="00952B8D">
          <w:pPr>
            <w:tabs>
              <w:tab w:val="center" w:pos="726"/>
            </w:tabs>
            <w:rPr>
              <w:b/>
            </w:rPr>
          </w:pPr>
        </w:p>
      </w:tc>
      <w:tc>
        <w:tcPr>
          <w:tcW w:w="7512" w:type="dxa"/>
          <w:tcBorders>
            <w:bottom w:val="single" w:sz="4" w:space="0" w:color="000000"/>
          </w:tcBorders>
        </w:tcPr>
        <w:p w:rsidR="00952B8D" w:rsidRDefault="00952B8D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</w:p>
      </w:tc>
    </w:tr>
    <w:tr w:rsidR="00952B8D">
      <w:trPr>
        <w:trHeight w:val="38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952B8D" w:rsidRDefault="005D650A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BİRİMİ</w:t>
          </w:r>
          <w:r>
            <w:rPr>
              <w:b/>
            </w:rPr>
            <w:tab/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B8D" w:rsidRDefault="005D650A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DÖNER SERMAYE İŞLETME MÜDÜRLÜĞÜ</w:t>
          </w:r>
        </w:p>
      </w:tc>
    </w:tr>
    <w:tr w:rsidR="00952B8D">
      <w:trPr>
        <w:trHeight w:val="40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952B8D" w:rsidRDefault="005D650A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GÖREVİ</w:t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B8D" w:rsidRDefault="005D650A">
          <w:r>
            <w:t xml:space="preserve"> İŞLETME MÜDÜRÜ</w:t>
          </w:r>
        </w:p>
      </w:tc>
    </w:tr>
  </w:tbl>
  <w:p w:rsidR="00952B8D" w:rsidRDefault="00952B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4B9A"/>
    <w:multiLevelType w:val="multilevel"/>
    <w:tmpl w:val="78607AA8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D"/>
    <w:rsid w:val="00381DD2"/>
    <w:rsid w:val="003A1258"/>
    <w:rsid w:val="005D650A"/>
    <w:rsid w:val="00952B8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AE3E-C9A6-4C50-81FB-0B0F3B3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2</cp:revision>
  <dcterms:created xsi:type="dcterms:W3CDTF">2018-04-17T07:12:00Z</dcterms:created>
  <dcterms:modified xsi:type="dcterms:W3CDTF">2018-04-17T07:12:00Z</dcterms:modified>
</cp:coreProperties>
</file>