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5753A5F9" Type="http://schemas.openxmlformats.org/officeDocument/2006/relationships/officeDocument" Target="/word/document.xml" /><Relationship Id="coreR5753A5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pPr>
              <w:ind w:firstLine="713" w:left="0"/>
              <w:jc w:val="both"/>
              <w:rPr>
                <w:sz w:val="24"/>
              </w:rPr>
            </w:pPr>
            <w:r>
              <w:rPr>
                <w:sz w:val="24"/>
              </w:rPr>
              <w:t>2547 sayılı Yükseköğretim Kanunu ile 5188 sayılı Özel Güvenlik Hizmetlerine Dair Kanun, Özel Güvenlik Hizmetlerine Dair Kanunun Uygulanmasına İlişkin Yönetmelik ve Üniversitemizin Güvenlik Yönergesine göre Genel Sekreterlik bünyesinde kurulu Üniversite mensuplarının günlük çalışma süreleri boyunca can ve mal güvenliğinin sağlanması, çalışanların, öğrencilerin ve ziyaretçilerin konulan kurallara uymalarının sağlanması ve Üniversiteye ait yerleşkeler bina, bahçe ve alanlar ile her türlü taşıt, malzeme ve ekipmanın kesintisiz korunmasının ve güvenliğinin sağlanması ve bu bağlamda görev yapan personelin görev alanı sayılan bütün birimlerini kapsar.</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pPr>
              <w:rPr>
                <w:sz w:val="24"/>
              </w:rPr>
            </w:pPr>
            <w:r>
              <w:rPr>
                <w:sz w:val="24"/>
              </w:rPr>
              <w:t>1- İlgili mevzuata uygun olarak güvenlik hizmetlerini yürütmek ve ilgili yazışmaları yapmak.</w:t>
            </w:r>
          </w:p>
          <w:p>
            <w:pPr>
              <w:rPr>
                <w:sz w:val="24"/>
              </w:rPr>
            </w:pPr>
            <w:r>
              <w:rPr>
                <w:sz w:val="24"/>
              </w:rPr>
              <w:t>2- Üniversitenin güvenliğinden sorumludur.</w:t>
            </w:r>
          </w:p>
          <w:p>
            <w:r>
              <w:rPr>
                <w:sz w:val="24"/>
              </w:rPr>
              <w:t>3- Kampus alanı içinde gerekli düzen ve tertibi sağlama.</w:t>
            </w:r>
          </w:p>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DESTEK HİZMETLERİ GÜVENLİK BİRİMİ</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DESTEK HİZMETLERİ BİRİMİ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2017-07-10T11:39:07Z</dcterms:modified>
  <cp:revision>26</cp:revision>
</cp:coreProperties>
</file>