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562862" Type="http://schemas.openxmlformats.org/officeDocument/2006/relationships/officeDocument" Target="/word/document.xml" /><Relationship Id="coreR2C5628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 xml:space="preserve">Harcama yetkilisi bütçeyle ödenek tahsis edilen her bir harcama biriminin en üst yöneticisidir.           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pPr>
              <w:spacing w:lineRule="auto" w:line="240" w:beforeAutospacing="0" w:afterAutospacing="0"/>
              <w:ind w:hanging="284" w:lef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1- Harcama talimatlarının bütçe ilke ve esaslarına, kanun, tüzük ve yönetmelikler ile diğer mevzuata uygun olmasından,</w:t>
            </w:r>
          </w:p>
          <w:p>
            <w:pPr>
              <w:spacing w:lineRule="auto" w:line="240" w:beforeAutospacing="0" w:afterAutospacing="0"/>
              <w:ind w:hanging="284" w:lef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2- Ödeneklerin etkili, ekonomik ve verimli kullanılmasından,</w:t>
            </w:r>
          </w:p>
          <w:p>
            <w:pPr>
              <w:spacing w:lineRule="auto" w:line="240" w:beforeAutospacing="0" w:afterAutospacing="0"/>
              <w:ind w:hanging="284" w:lef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3- Giderin gerçek gereksinme karşılığı olmasından,</w:t>
            </w:r>
          </w:p>
          <w:p>
            <w:pPr>
              <w:spacing w:lineRule="auto" w:line="240" w:beforeAutospacing="0" w:afterAutospacing="0"/>
              <w:ind w:hanging="284" w:lef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4- Programlanmış hizmetlerin zamanında yerine getirilmesinden,</w:t>
            </w:r>
          </w:p>
          <w:p>
            <w:pPr>
              <w:spacing w:lineRule="auto" w:line="240" w:beforeAutospacing="0" w:afterAutospacing="0"/>
              <w:ind w:hanging="284" w:left="2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5- Amaca uygun nitelikte en fazla mal veya hizmet sağlanmasından sorumludur.</w:t>
            </w:r>
          </w:p>
          <w:p>
            <w:pPr>
              <w:jc w:val="both"/>
            </w:pPr>
            <w:r>
              <w:rPr>
                <w:rFonts w:ascii="Calibri" w:hAnsi="Calibri"/>
                <w:sz w:val="24"/>
              </w:rPr>
              <w:t xml:space="preserve">6- Komisyon, kurul veya bir uzman tarafından düzenlenmiş keşif, hakediş, tutanak veya benzeri belgelere dayalı olarak yapılan ödemelerden Sayıştay’a karşı sorumlu ve görevli bulunmaktadır.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-Yukarıda belirtilen görev ve sorumlulukları gerçekleştirme yetkisine sahip olmak.</w:t>
            </w:r>
          </w:p>
          <w:p>
            <w:r>
              <w:rPr>
                <w:rFonts w:ascii="Arial" w:hAnsi="Arial"/>
                <w:sz w:val="22"/>
              </w:rPr>
              <w:t>-Faaliyetlerinin gerektirdiği her türlü araç, gereç ve malzemeyi kullanabilmek.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- 657 sayılı Devlet Memurları Kanunu, 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- 5018 sayılı Kamu Mali Kontrol ve Yönetim Kanunu, 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- 2547 sayılı Yüksek Öğretim Kanunu, 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- 6245 sayılı Harcırah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- 4734 sayılı Kamu İhale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- 4735 sayılı Kamu İhale Sözleşmeleri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- 488 sayılı Damga Vergisi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- 213 sayılı Vergi Usul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- 193 sayılı Gelir Vergisi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- 6085 sayılı Sayıştay Kanunu,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- 2489 sayılı Kefalet Kanunu,</w:t>
            </w:r>
          </w:p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- 6183 sayılı Amme Alacaklarının Tahsil Usulü Hakkında Kanun,</w:t>
            </w:r>
          </w:p>
          <w:p>
            <w:r>
              <w:t xml:space="preserve">-  Diğer Mevzuat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- En az lisans mezunu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657 sayılı Devlet Memurları Kanununa göre atanmış olmak.</w:t>
            </w:r>
          </w:p>
          <w:p>
            <w:r>
              <w:rPr>
                <w:rFonts w:ascii="Arial" w:hAnsi="Arial"/>
                <w:sz w:val="22"/>
              </w:rPr>
              <w:t>-En az Lisans mezunu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yabancısı dil bilgisi gerekmemektedir.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>
      <w:bookmarkStart w:id="0" w:name="_GoBack"/>
      <w:bookmarkEnd w:id="0"/>
    </w:p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HARCAMA YETKİLİSİ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0B453C45"/>
    <w:multiLevelType w:val="multilevel"/>
    <w:lvl w:ilvl="0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abstractNum w:abstractNumId="1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2016-08-11T07:55:52Z</dcterms:created>
  <cp:lastModifiedBy>NT AUTHORITY\SYSTEM</cp:lastModifiedBy>
  <dcterms:modified xsi:type="dcterms:W3CDTF">2017-05-09T11:04:19Z</dcterms:modified>
  <cp:revision>71</cp:revision>
</cp:coreProperties>
</file>